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8B8" w:rsidRPr="00315864" w:rsidRDefault="009638B8">
      <w:pPr>
        <w:rPr>
          <w:b/>
          <w:bCs/>
          <w:sz w:val="20"/>
          <w:lang w:val="en-US"/>
        </w:rPr>
      </w:pPr>
      <w:r w:rsidRPr="00315864">
        <w:rPr>
          <w:b/>
          <w:bCs/>
          <w:sz w:val="20"/>
          <w:lang w:val="en-US"/>
        </w:rPr>
        <w:t>Annex II</w:t>
      </w:r>
    </w:p>
    <w:p w:rsidR="009638B8" w:rsidRPr="00315864" w:rsidRDefault="009638B8">
      <w:pPr>
        <w:rPr>
          <w:b/>
          <w:bCs/>
          <w:sz w:val="20"/>
          <w:lang w:val="en-US"/>
        </w:rPr>
      </w:pPr>
    </w:p>
    <w:tbl>
      <w:tblPr>
        <w:tblW w:w="915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7"/>
      </w:tblGrid>
      <w:tr w:rsidR="008917E1" w:rsidRPr="00173EC2" w:rsidTr="008917E1">
        <w:trPr>
          <w:trHeight w:val="300"/>
        </w:trPr>
        <w:tc>
          <w:tcPr>
            <w:tcW w:w="9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17E1" w:rsidRPr="00E00B83" w:rsidRDefault="008917E1" w:rsidP="00783CCB">
            <w:pPr>
              <w:rPr>
                <w:b/>
                <w:bCs/>
                <w:sz w:val="20"/>
                <w:lang w:val="en-US"/>
              </w:rPr>
            </w:pPr>
            <w:r w:rsidRPr="00E00B83">
              <w:rPr>
                <w:b/>
                <w:bCs/>
                <w:sz w:val="20"/>
                <w:lang w:val="en-US"/>
              </w:rPr>
              <w:t>S.13.0</w:t>
            </w:r>
            <w:r w:rsidRPr="00173EC2">
              <w:rPr>
                <w:b/>
                <w:bCs/>
                <w:sz w:val="20"/>
                <w:lang w:val="en-US"/>
              </w:rPr>
              <w:t>1</w:t>
            </w:r>
            <w:bookmarkStart w:id="0" w:name="_GoBack"/>
            <w:bookmarkEnd w:id="0"/>
            <w:r w:rsidRPr="00E00B83">
              <w:rPr>
                <w:b/>
                <w:bCs/>
                <w:sz w:val="20"/>
                <w:lang w:val="en-US"/>
              </w:rPr>
              <w:t xml:space="preserve"> - Projection of future </w:t>
            </w:r>
            <w:r w:rsidRPr="00173EC2">
              <w:rPr>
                <w:b/>
                <w:bCs/>
                <w:sz w:val="20"/>
                <w:lang w:val="en-US"/>
              </w:rPr>
              <w:t xml:space="preserve">gross </w:t>
            </w:r>
            <w:r w:rsidRPr="00E00B83">
              <w:rPr>
                <w:b/>
                <w:bCs/>
                <w:sz w:val="20"/>
                <w:lang w:val="en-US"/>
              </w:rPr>
              <w:t>cash flows (Best Estimate -life)</w:t>
            </w:r>
          </w:p>
          <w:p w:rsidR="008917E1" w:rsidRPr="00E00B83" w:rsidRDefault="008917E1" w:rsidP="00C16324">
            <w:pPr>
              <w:rPr>
                <w:b/>
                <w:bCs/>
                <w:sz w:val="20"/>
                <w:lang w:val="en-US"/>
              </w:rPr>
            </w:pPr>
          </w:p>
          <w:p w:rsidR="008917E1" w:rsidRPr="00173EC2" w:rsidRDefault="008917E1" w:rsidP="00E00B83">
            <w:pPr>
              <w:spacing w:line="276" w:lineRule="auto"/>
              <w:rPr>
                <w:b/>
                <w:bCs/>
                <w:sz w:val="20"/>
                <w:lang w:val="en-US"/>
              </w:rPr>
            </w:pPr>
            <w:r w:rsidRPr="00E00B83">
              <w:rPr>
                <w:b/>
                <w:bCs/>
                <w:sz w:val="20"/>
                <w:lang w:val="en-US"/>
              </w:rPr>
              <w:t>General comments :</w:t>
            </w:r>
          </w:p>
          <w:p w:rsidR="008917E1" w:rsidRPr="00E00B83" w:rsidRDefault="008917E1" w:rsidP="00E00B83">
            <w:pPr>
              <w:spacing w:line="276" w:lineRule="auto"/>
              <w:jc w:val="both"/>
              <w:rPr>
                <w:sz w:val="20"/>
                <w:lang w:val="en-US"/>
              </w:rPr>
            </w:pPr>
            <w:r w:rsidRPr="00E00B83">
              <w:rPr>
                <w:sz w:val="20"/>
                <w:lang w:val="en-US"/>
              </w:rPr>
              <w:t>This Annex contains additional instructions in relation to the templates included in Annex I of this Regulation. The first column of the next table identifies the items to be reported by identifying the columns and lines as show</w:t>
            </w:r>
            <w:r w:rsidRPr="00173EC2">
              <w:rPr>
                <w:sz w:val="20"/>
                <w:lang w:val="en-US"/>
              </w:rPr>
              <w:t>n</w:t>
            </w:r>
            <w:r w:rsidRPr="00E00B83">
              <w:rPr>
                <w:sz w:val="20"/>
                <w:lang w:val="en-US"/>
              </w:rPr>
              <w:t xml:space="preserve"> in the template in Annex I.</w:t>
            </w:r>
          </w:p>
          <w:p w:rsidR="008917E1" w:rsidRPr="00E00B83" w:rsidRDefault="008917E1" w:rsidP="00E00B83">
            <w:pPr>
              <w:spacing w:line="276" w:lineRule="auto"/>
              <w:rPr>
                <w:b/>
                <w:bCs/>
                <w:sz w:val="20"/>
                <w:lang w:val="en-US"/>
              </w:rPr>
            </w:pPr>
          </w:p>
          <w:p w:rsidR="008917E1" w:rsidRPr="00173EC2" w:rsidRDefault="008917E1" w:rsidP="00E00B83">
            <w:pPr>
              <w:spacing w:line="276" w:lineRule="auto"/>
              <w:jc w:val="both"/>
              <w:rPr>
                <w:sz w:val="20"/>
                <w:lang w:val="en-US"/>
              </w:rPr>
            </w:pPr>
            <w:r w:rsidRPr="00173EC2">
              <w:rPr>
                <w:sz w:val="20"/>
                <w:lang w:val="en-US"/>
              </w:rPr>
              <w:t>This annex relates to annual submission of information for individual entities.</w:t>
            </w:r>
          </w:p>
          <w:p w:rsidR="008917E1" w:rsidRPr="00173EC2" w:rsidRDefault="008917E1" w:rsidP="00E00B83">
            <w:pPr>
              <w:spacing w:line="276" w:lineRule="auto"/>
              <w:jc w:val="both"/>
              <w:rPr>
                <w:sz w:val="20"/>
                <w:lang w:val="en-US"/>
              </w:rPr>
            </w:pPr>
          </w:p>
          <w:p w:rsidR="008917E1" w:rsidRPr="00173EC2" w:rsidRDefault="008917E1" w:rsidP="00E00B83">
            <w:pPr>
              <w:spacing w:line="276" w:lineRule="auto"/>
              <w:jc w:val="both"/>
              <w:rPr>
                <w:sz w:val="20"/>
                <w:lang w:val="en-US"/>
              </w:rPr>
            </w:pPr>
            <w:r w:rsidRPr="00E00B83">
              <w:rPr>
                <w:sz w:val="20"/>
                <w:lang w:val="en-US"/>
              </w:rPr>
              <w:t xml:space="preserve">This template </w:t>
            </w:r>
            <w:r w:rsidRPr="00173EC2">
              <w:rPr>
                <w:sz w:val="20"/>
                <w:lang w:val="en-US"/>
              </w:rPr>
              <w:t>shall include information only in relation to the</w:t>
            </w:r>
            <w:r w:rsidRPr="00E00B83">
              <w:rPr>
                <w:sz w:val="20"/>
                <w:lang w:val="en-US"/>
              </w:rPr>
              <w:t xml:space="preserve"> </w:t>
            </w:r>
            <w:r w:rsidRPr="00173EC2">
              <w:rPr>
                <w:sz w:val="20"/>
                <w:lang w:val="en-US"/>
              </w:rPr>
              <w:t>b</w:t>
            </w:r>
            <w:r w:rsidRPr="00E00B83">
              <w:rPr>
                <w:sz w:val="20"/>
                <w:lang w:val="en-US"/>
              </w:rPr>
              <w:t xml:space="preserve">est </w:t>
            </w:r>
            <w:r w:rsidRPr="00173EC2">
              <w:rPr>
                <w:sz w:val="20"/>
                <w:lang w:val="en-US"/>
              </w:rPr>
              <w:t>e</w:t>
            </w:r>
            <w:r w:rsidRPr="00E00B83">
              <w:rPr>
                <w:sz w:val="20"/>
                <w:lang w:val="en-US"/>
              </w:rPr>
              <w:t xml:space="preserve">stimates. The cash flows </w:t>
            </w:r>
            <w:r w:rsidRPr="00173EC2">
              <w:rPr>
                <w:sz w:val="20"/>
                <w:lang w:val="en-US"/>
              </w:rPr>
              <w:t xml:space="preserve">to be reported </w:t>
            </w:r>
            <w:r w:rsidRPr="00E00B83">
              <w:rPr>
                <w:sz w:val="20"/>
                <w:lang w:val="en-US"/>
              </w:rPr>
              <w:t xml:space="preserve">are gross of reinsurance and undiscounted. </w:t>
            </w:r>
          </w:p>
          <w:p w:rsidR="008917E1" w:rsidRPr="00E00B83" w:rsidRDefault="008917E1" w:rsidP="00E00B83">
            <w:pPr>
              <w:spacing w:line="276" w:lineRule="auto"/>
              <w:jc w:val="both"/>
              <w:rPr>
                <w:sz w:val="20"/>
                <w:lang w:val="en-US"/>
              </w:rPr>
            </w:pPr>
          </w:p>
          <w:p w:rsidR="008917E1" w:rsidRDefault="008917E1" w:rsidP="00E00B83">
            <w:pPr>
              <w:spacing w:line="276" w:lineRule="auto"/>
              <w:jc w:val="both"/>
              <w:rPr>
                <w:sz w:val="20"/>
                <w:lang w:val="en-US"/>
              </w:rPr>
            </w:pPr>
            <w:r w:rsidRPr="00E00B83">
              <w:rPr>
                <w:sz w:val="20"/>
                <w:lang w:val="en-US"/>
              </w:rPr>
              <w:t>Cash-flow projections such as central scenarios can be used as no perfect reconciliation with Best Estimate calculation is required. If difficult to project some future cash-flows like collective Future Discretionary Benefits the undertaking sh</w:t>
            </w:r>
            <w:r w:rsidRPr="00173EC2">
              <w:rPr>
                <w:sz w:val="20"/>
                <w:lang w:val="en-US"/>
              </w:rPr>
              <w:t>all</w:t>
            </w:r>
            <w:r w:rsidRPr="00E00B83">
              <w:rPr>
                <w:sz w:val="20"/>
                <w:lang w:val="en-US"/>
              </w:rPr>
              <w:t xml:space="preserve"> report the cash flow it effectively uses for calculating the B</w:t>
            </w:r>
            <w:r>
              <w:rPr>
                <w:sz w:val="20"/>
                <w:lang w:val="en-US"/>
              </w:rPr>
              <w:t xml:space="preserve">est </w:t>
            </w:r>
            <w:r w:rsidRPr="00E00B83">
              <w:rPr>
                <w:sz w:val="20"/>
                <w:lang w:val="en-US"/>
              </w:rPr>
              <w:t>E</w:t>
            </w:r>
            <w:r>
              <w:rPr>
                <w:sz w:val="20"/>
                <w:lang w:val="en-US"/>
              </w:rPr>
              <w:t>stimate</w:t>
            </w:r>
            <w:r w:rsidRPr="00E00B83">
              <w:rPr>
                <w:sz w:val="20"/>
                <w:lang w:val="en-US"/>
              </w:rPr>
              <w:t xml:space="preserve">. </w:t>
            </w:r>
          </w:p>
          <w:p w:rsidR="008917E1" w:rsidRDefault="008917E1" w:rsidP="00E00B83">
            <w:pPr>
              <w:spacing w:line="276" w:lineRule="auto"/>
              <w:jc w:val="both"/>
              <w:rPr>
                <w:sz w:val="20"/>
              </w:rPr>
            </w:pPr>
          </w:p>
          <w:p w:rsidR="008917E1" w:rsidRDefault="008917E1" w:rsidP="00E00B83">
            <w:pPr>
              <w:spacing w:line="276" w:lineRule="auto"/>
              <w:jc w:val="both"/>
              <w:rPr>
                <w:sz w:val="20"/>
                <w:lang w:val="en-US"/>
              </w:rPr>
            </w:pPr>
            <w:r w:rsidRPr="009C68C6">
              <w:rPr>
                <w:sz w:val="20"/>
              </w:rPr>
              <w:t>All cash flows expressed in different currencies shall be considered and converted in the reporting currency using the exchange rate at the reporting date</w:t>
            </w:r>
          </w:p>
          <w:p w:rsidR="008917E1" w:rsidRPr="00E00B83" w:rsidRDefault="008917E1" w:rsidP="00E00B83">
            <w:pPr>
              <w:spacing w:line="276" w:lineRule="auto"/>
              <w:jc w:val="both"/>
              <w:rPr>
                <w:sz w:val="20"/>
                <w:lang w:val="en-US"/>
              </w:rPr>
            </w:pPr>
          </w:p>
          <w:p w:rsidR="008917E1" w:rsidRPr="00E00B83" w:rsidRDefault="008917E1" w:rsidP="00CE6AFC">
            <w:pPr>
              <w:spacing w:line="276" w:lineRule="auto"/>
              <w:jc w:val="both"/>
              <w:rPr>
                <w:b/>
                <w:bCs/>
                <w:sz w:val="20"/>
                <w:lang w:val="en-US"/>
              </w:rPr>
            </w:pPr>
            <w:r w:rsidRPr="003C12C3">
              <w:rPr>
                <w:sz w:val="20"/>
                <w:lang w:val="en-US"/>
              </w:rPr>
              <w:t xml:space="preserve">In case the undertaking uses simplifications for the calculation of technical provisions, for which an estimate of the expected future cash-flows arising from </w:t>
            </w:r>
            <w:r w:rsidRPr="00315864">
              <w:rPr>
                <w:sz w:val="20"/>
                <w:lang w:val="en-US"/>
              </w:rPr>
              <w:t>the contracts are not calculated, the information shall be reported only in those cases where more than 10% of total technical provisions have a settlement period longer than 24 months.</w:t>
            </w:r>
          </w:p>
        </w:tc>
      </w:tr>
      <w:tr w:rsidR="008917E1" w:rsidRPr="00927CAF" w:rsidTr="008917E1">
        <w:trPr>
          <w:trHeight w:val="300"/>
        </w:trPr>
        <w:tc>
          <w:tcPr>
            <w:tcW w:w="9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17E1" w:rsidRPr="00E00B83" w:rsidRDefault="008917E1" w:rsidP="00DD1B3B">
            <w:pPr>
              <w:rPr>
                <w:b/>
                <w:bCs/>
                <w:sz w:val="20"/>
                <w:lang w:val="en-US"/>
              </w:rPr>
            </w:pPr>
            <w:r w:rsidRPr="00E00B83">
              <w:rPr>
                <w:b/>
                <w:bCs/>
                <w:sz w:val="20"/>
                <w:lang w:val="en-US"/>
              </w:rPr>
              <w:t xml:space="preserve">                                   </w:t>
            </w:r>
            <w:r>
              <w:rPr>
                <w:b/>
                <w:bCs/>
                <w:sz w:val="20"/>
                <w:lang w:val="en-US"/>
              </w:rPr>
              <w:t xml:space="preserve">            </w:t>
            </w:r>
            <w:r w:rsidRPr="00927CAF">
              <w:rPr>
                <w:b/>
                <w:bCs/>
                <w:sz w:val="20"/>
                <w:lang w:val="en-US"/>
              </w:rPr>
              <w:t xml:space="preserve">ITEM                            </w:t>
            </w:r>
            <w:r>
              <w:rPr>
                <w:b/>
                <w:bCs/>
                <w:sz w:val="20"/>
                <w:lang w:val="en-US"/>
              </w:rPr>
              <w:t xml:space="preserve">                       </w:t>
            </w:r>
            <w:r w:rsidRPr="00927CAF">
              <w:rPr>
                <w:b/>
                <w:bCs/>
                <w:sz w:val="20"/>
                <w:lang w:val="en-US"/>
              </w:rPr>
              <w:t>INSTRUCTIONS</w:t>
            </w:r>
          </w:p>
          <w:tbl>
            <w:tblPr>
              <w:tblW w:w="898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29"/>
              <w:gridCol w:w="2169"/>
              <w:gridCol w:w="5489"/>
            </w:tblGrid>
            <w:tr w:rsidR="008917E1" w:rsidRPr="00927CAF" w:rsidTr="008917E1">
              <w:trPr>
                <w:trHeight w:val="1671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C0010/R0010-R0330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Insurance with profit participation (gross), Cash out-flows - Future benefits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DD1B3B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DD1B3B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ste</w:t>
                  </w:r>
                  <w:r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 xml:space="preserve">ming from </w:t>
                  </w:r>
                  <w:r w:rsidRPr="00927CAF">
                    <w:rPr>
                      <w:sz w:val="20"/>
                      <w:lang w:val="en-US"/>
                    </w:rPr>
                    <w:t>f</w:t>
                  </w:r>
                  <w:r w:rsidRPr="00E00B83">
                    <w:rPr>
                      <w:sz w:val="20"/>
                      <w:lang w:val="en-US"/>
                    </w:rPr>
                    <w:t xml:space="preserve">uture benefits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I</w:t>
                  </w:r>
                  <w:r w:rsidRPr="00E00B83">
                    <w:rPr>
                      <w:sz w:val="20"/>
                      <w:lang w:val="en-US"/>
                    </w:rPr>
                    <w:t>nsurance with profit participation</w:t>
                  </w:r>
                  <w:r w:rsidRPr="00927CAF">
                    <w:rPr>
                      <w:sz w:val="20"/>
                      <w:lang w:val="en-US"/>
                    </w:rPr>
                    <w:t>.</w:t>
                  </w:r>
                </w:p>
              </w:tc>
            </w:tr>
            <w:tr w:rsidR="008917E1" w:rsidRPr="00927CAF" w:rsidTr="00E00B83">
              <w:trPr>
                <w:trHeight w:val="27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C0020/R0010-R0330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Insurance with profit participation (gross), Cash out-flows - Future expenses and other cash out-flows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>
                  <w:pPr>
                    <w:rPr>
                      <w:sz w:val="20"/>
                      <w:lang w:val="en-US"/>
                    </w:rPr>
                  </w:pPr>
                </w:p>
                <w:p w:rsidR="008917E1" w:rsidRPr="00927CAF" w:rsidRDefault="008917E1">
                  <w:pPr>
                    <w:rPr>
                      <w:sz w:val="20"/>
                      <w:lang w:val="en-US"/>
                    </w:rPr>
                  </w:pPr>
                  <w:r w:rsidRPr="00927CAF">
                    <w:rPr>
                      <w:sz w:val="20"/>
                      <w:lang w:val="en-US"/>
                    </w:rPr>
                    <w:t>T</w:t>
                  </w:r>
                  <w:r w:rsidRPr="00E00B83">
                    <w:rPr>
                      <w:sz w:val="20"/>
                      <w:lang w:val="en-US"/>
                    </w:rPr>
                    <w:t>he cash-flows are the ones related to expenses that will be incurred in servicing insurance and reinsurance obligations, and other cash-flow items such as taxation payments which are, or expected to be, charged to policyholders or are required to settle the insurance obligations</w:t>
                  </w:r>
                  <w:r w:rsidRPr="00927CAF">
                    <w:rPr>
                      <w:sz w:val="20"/>
                      <w:lang w:val="en-US"/>
                    </w:rPr>
                    <w:t xml:space="preserve">, for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Insurance with profit participation</w:t>
                  </w:r>
                  <w:r w:rsidRPr="00E00B83">
                    <w:rPr>
                      <w:sz w:val="20"/>
                      <w:lang w:val="en-US"/>
                    </w:rPr>
                    <w:t xml:space="preserve">. </w:t>
                  </w:r>
                </w:p>
                <w:p w:rsidR="008917E1" w:rsidRPr="00927CAF" w:rsidRDefault="008917E1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8917E1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Cash out-flows from non-life insurance contracts that will change to Annuities </w:t>
                  </w:r>
                  <w:r>
                    <w:rPr>
                      <w:sz w:val="20"/>
                      <w:lang w:val="en-US"/>
                    </w:rPr>
                    <w:t xml:space="preserve">but not yet formally settled as Annuities, </w:t>
                  </w:r>
                  <w:r w:rsidRPr="00E00B83">
                    <w:rPr>
                      <w:sz w:val="20"/>
                      <w:lang w:val="en-US"/>
                    </w:rPr>
                    <w:t xml:space="preserve">and dealt </w:t>
                  </w:r>
                  <w:r w:rsidRPr="00927CAF">
                    <w:rPr>
                      <w:sz w:val="20"/>
                      <w:lang w:val="en-US"/>
                    </w:rPr>
                    <w:t xml:space="preserve">with </w:t>
                  </w:r>
                  <w:r w:rsidRPr="00E00B83">
                    <w:rPr>
                      <w:sz w:val="20"/>
                      <w:lang w:val="en-US"/>
                    </w:rPr>
                    <w:t>within the same company shall also be included.</w:t>
                  </w:r>
                </w:p>
              </w:tc>
            </w:tr>
            <w:tr w:rsidR="008917E1" w:rsidRPr="00927CAF" w:rsidTr="008917E1">
              <w:trPr>
                <w:trHeight w:val="189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lastRenderedPageBreak/>
                    <w:t>C0030/R0010-R0330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Insurance with profit participation (gross), Cash in-flows - Future premiums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DD1B3B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21480E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ste</w:t>
                  </w:r>
                  <w:r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>ming from future premiums and any additional cash</w:t>
                  </w:r>
                  <w:r w:rsidRPr="00927CAF">
                    <w:rPr>
                      <w:sz w:val="20"/>
                      <w:lang w:val="en-US"/>
                    </w:rPr>
                    <w:t>-</w:t>
                  </w:r>
                  <w:r w:rsidRPr="00E00B83">
                    <w:rPr>
                      <w:sz w:val="20"/>
                      <w:lang w:val="en-US"/>
                    </w:rPr>
                    <w:t>flows that result from those premiums</w:t>
                  </w:r>
                  <w:r w:rsidRPr="00927CAF">
                    <w:rPr>
                      <w:sz w:val="20"/>
                      <w:lang w:val="en-US"/>
                    </w:rPr>
                    <w:t xml:space="preserve">, for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Insurance with profit participation</w:t>
                  </w:r>
                  <w:r w:rsidRPr="00E00B83">
                    <w:rPr>
                      <w:sz w:val="20"/>
                      <w:lang w:val="en-US"/>
                    </w:rPr>
                    <w:t>.</w:t>
                  </w:r>
                </w:p>
              </w:tc>
            </w:tr>
            <w:tr w:rsidR="008917E1" w:rsidRPr="00927CAF" w:rsidTr="008917E1">
              <w:trPr>
                <w:trHeight w:val="1906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C0040/R0010-R0330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Insurance with profit participation (gross), Cash in-flows - Other cash in-flows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DD1B3B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21480E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not included in Future premiums and not including investment returns</w:t>
                  </w:r>
                  <w:r w:rsidRPr="00927CAF">
                    <w:rPr>
                      <w:sz w:val="20"/>
                      <w:lang w:val="en-US"/>
                    </w:rPr>
                    <w:t xml:space="preserve">, for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Insurance with profit participation</w:t>
                  </w:r>
                  <w:r w:rsidRPr="00E00B83">
                    <w:rPr>
                      <w:sz w:val="20"/>
                      <w:lang w:val="en-US"/>
                    </w:rPr>
                    <w:t>.</w:t>
                  </w:r>
                </w:p>
              </w:tc>
            </w:tr>
            <w:tr w:rsidR="008917E1" w:rsidRPr="00927CAF" w:rsidTr="00E00B83">
              <w:trPr>
                <w:trHeight w:val="1806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C0050/R0010-R0330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Index linked and unit-linked insurance (gross), Cash out-flows - Future benefits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DD1B3B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DD1B3B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ste</w:t>
                  </w:r>
                  <w:r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 xml:space="preserve">ming from Future benefits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I</w:t>
                  </w:r>
                  <w:r w:rsidRPr="00E00B83">
                    <w:rPr>
                      <w:sz w:val="20"/>
                      <w:lang w:val="en-US"/>
                    </w:rPr>
                    <w:t>ndex linked and unit-linked insurance.</w:t>
                  </w:r>
                </w:p>
              </w:tc>
            </w:tr>
            <w:tr w:rsidR="008917E1" w:rsidRPr="00927CAF" w:rsidTr="00E00B83">
              <w:trPr>
                <w:trHeight w:val="27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C0060/R0010-R0330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Index linked and unit-linked insurance (gross), Cash out-flows - Future expenses and other cash out-flows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related to expenses that will be incurred in servicing insurance and reinsurance obligations, and other cash-flow items such as taxation payments which are, or expected to be, charged to policyholders or are required to settle the insurance obligations</w:t>
                  </w:r>
                  <w:r w:rsidRPr="00927CAF">
                    <w:rPr>
                      <w:sz w:val="20"/>
                      <w:lang w:val="en-US"/>
                    </w:rPr>
                    <w:t xml:space="preserve">,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Index linked and unit-linked insurance.</w:t>
                  </w:r>
                </w:p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8917E1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Cash out-flows from non-life insurance contracts that will change to Annuities</w:t>
                  </w:r>
                  <w:r>
                    <w:rPr>
                      <w:sz w:val="20"/>
                      <w:lang w:val="en-US"/>
                    </w:rPr>
                    <w:t xml:space="preserve"> but not yet formally settled as Annuities,</w:t>
                  </w:r>
                  <w:r w:rsidRPr="00E00B83">
                    <w:rPr>
                      <w:sz w:val="20"/>
                      <w:lang w:val="en-US"/>
                    </w:rPr>
                    <w:t xml:space="preserve"> and dealt </w:t>
                  </w:r>
                  <w:r w:rsidRPr="00927CAF">
                    <w:rPr>
                      <w:sz w:val="20"/>
                      <w:lang w:val="en-US"/>
                    </w:rPr>
                    <w:t xml:space="preserve">with </w:t>
                  </w:r>
                  <w:r w:rsidRPr="00E00B83">
                    <w:rPr>
                      <w:sz w:val="20"/>
                      <w:lang w:val="en-US"/>
                    </w:rPr>
                    <w:t>within the same company shall also be included.</w:t>
                  </w:r>
                </w:p>
              </w:tc>
            </w:tr>
            <w:tr w:rsidR="008917E1" w:rsidRPr="00927CAF" w:rsidTr="00E00B83">
              <w:trPr>
                <w:trHeight w:val="1909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C0070/R0010-R0330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Index linked and unit-linked insurance (gross), Cash in-flows - Future premiums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21480E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21480E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21480E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ste</w:t>
                  </w:r>
                  <w:r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>ming from future premiums and any additional cash</w:t>
                  </w:r>
                  <w:r w:rsidRPr="00927CAF">
                    <w:rPr>
                      <w:sz w:val="20"/>
                      <w:lang w:val="en-US"/>
                    </w:rPr>
                    <w:t>-</w:t>
                  </w:r>
                  <w:r w:rsidRPr="00E00B83">
                    <w:rPr>
                      <w:sz w:val="20"/>
                      <w:lang w:val="en-US"/>
                    </w:rPr>
                    <w:t>flows that result from those premiums</w:t>
                  </w:r>
                  <w:proofErr w:type="gramStart"/>
                  <w:r w:rsidRPr="00927CAF">
                    <w:rPr>
                      <w:sz w:val="20"/>
                      <w:lang w:val="en-US"/>
                    </w:rPr>
                    <w:t>, ,</w:t>
                  </w:r>
                  <w:proofErr w:type="gramEnd"/>
                  <w:r w:rsidRPr="00927CAF">
                    <w:rPr>
                      <w:sz w:val="20"/>
                      <w:lang w:val="en-US"/>
                    </w:rPr>
                    <w:t xml:space="preserve">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Index linked and unit-linked insurance.</w:t>
                  </w:r>
                </w:p>
              </w:tc>
            </w:tr>
            <w:tr w:rsidR="008917E1" w:rsidRPr="00927CAF" w:rsidTr="00E00B83">
              <w:trPr>
                <w:trHeight w:val="21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C0080/R0010-R0330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Index linked and unit-linked insurance (gross), Cash in-flows - Other cash in-flows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8917E1" w:rsidRPr="00E00B83" w:rsidRDefault="008917E1" w:rsidP="0021480E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not included in Future premiums and not including investment returns</w:t>
                  </w:r>
                  <w:r w:rsidRPr="00927CAF">
                    <w:rPr>
                      <w:sz w:val="20"/>
                      <w:lang w:val="en-US"/>
                    </w:rPr>
                    <w:t xml:space="preserve">,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Index linked and unit-linked insurance.</w:t>
                  </w:r>
                </w:p>
              </w:tc>
            </w:tr>
            <w:tr w:rsidR="008917E1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lastRenderedPageBreak/>
                    <w:t>C0090/R0010-R0330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Other life insurance (gross), Cash out-flows - Future benefits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DD1B3B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DD1B3B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ste</w:t>
                  </w:r>
                  <w:r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 xml:space="preserve">ming from Future benefits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E00B83">
                    <w:rPr>
                      <w:sz w:val="20"/>
                      <w:lang w:val="en-US"/>
                    </w:rPr>
                    <w:t xml:space="preserve"> Other life insurance.</w:t>
                  </w:r>
                </w:p>
              </w:tc>
            </w:tr>
            <w:tr w:rsidR="008917E1" w:rsidRPr="00927CAF" w:rsidTr="00E00B83">
              <w:trPr>
                <w:trHeight w:val="27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C0100/R0010-R0330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Other life insurance (gross), Cash out-flows - Future expenses and other cash out-flows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8917E1" w:rsidRPr="00927CAF" w:rsidRDefault="008917E1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related to expenses that will be incurred in servicing insurance and reinsurance obligations, and other cash-flow items such as taxation payments which are, or expected to be, charged to policyholders or are required to settle the insurance obligations</w:t>
                  </w:r>
                  <w:r w:rsidRPr="00927CAF">
                    <w:rPr>
                      <w:sz w:val="20"/>
                      <w:lang w:val="en-US"/>
                    </w:rPr>
                    <w:t xml:space="preserve">,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Other life insurance.</w:t>
                  </w: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8917E1" w:rsidRPr="00927CAF" w:rsidRDefault="008917E1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8917E1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Cash out-flows from non-life insurance contracts that will change to Annuities</w:t>
                  </w:r>
                  <w:r>
                    <w:rPr>
                      <w:sz w:val="20"/>
                      <w:lang w:val="en-US"/>
                    </w:rPr>
                    <w:t xml:space="preserve"> but not yet formally settled as Annuities,</w:t>
                  </w:r>
                  <w:r w:rsidRPr="00E00B83">
                    <w:rPr>
                      <w:sz w:val="20"/>
                      <w:lang w:val="en-US"/>
                    </w:rPr>
                    <w:t xml:space="preserve"> and dealt </w:t>
                  </w:r>
                  <w:r w:rsidRPr="00927CAF">
                    <w:rPr>
                      <w:sz w:val="20"/>
                      <w:lang w:val="en-US"/>
                    </w:rPr>
                    <w:t xml:space="preserve">with </w:t>
                  </w:r>
                  <w:r w:rsidRPr="00E00B83">
                    <w:rPr>
                      <w:sz w:val="20"/>
                      <w:lang w:val="en-US"/>
                    </w:rPr>
                    <w:t>within the same company shall also be included.</w:t>
                  </w:r>
                </w:p>
              </w:tc>
            </w:tr>
            <w:tr w:rsidR="008917E1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C0110/R0010-R0330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Other life insurance (gross), Cash in-flows - Future premiums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DD1B3B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AC1B56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ste</w:t>
                  </w:r>
                  <w:r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>ming from future premiums and any additional cash</w:t>
                  </w:r>
                  <w:r w:rsidRPr="00927CAF">
                    <w:rPr>
                      <w:sz w:val="20"/>
                      <w:lang w:val="en-US"/>
                    </w:rPr>
                    <w:t>-</w:t>
                  </w:r>
                  <w:r w:rsidRPr="00E00B83">
                    <w:rPr>
                      <w:sz w:val="20"/>
                      <w:lang w:val="en-US"/>
                    </w:rPr>
                    <w:t>flows that result from those premiums</w:t>
                  </w:r>
                  <w:r w:rsidRPr="00927CAF">
                    <w:rPr>
                      <w:sz w:val="20"/>
                      <w:lang w:val="en-US"/>
                    </w:rPr>
                    <w:t xml:space="preserve">,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Other life insurance.</w:t>
                  </w:r>
                </w:p>
              </w:tc>
            </w:tr>
            <w:tr w:rsidR="008917E1" w:rsidRPr="00927CAF" w:rsidTr="00E00B83">
              <w:trPr>
                <w:trHeight w:val="1961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C0120/R0010-R0330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Other life insurance (gross), Cash in-flows - Other cash in-flows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8917E1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not included in Future premiums and not including investment returns</w:t>
                  </w:r>
                  <w:r w:rsidRPr="00927CAF">
                    <w:rPr>
                      <w:sz w:val="20"/>
                      <w:lang w:val="en-US"/>
                    </w:rPr>
                    <w:t xml:space="preserve">,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Other life insurance.</w:t>
                  </w:r>
                </w:p>
              </w:tc>
            </w:tr>
            <w:tr w:rsidR="008917E1" w:rsidRPr="00927CAF" w:rsidTr="00E00B83">
              <w:trPr>
                <w:trHeight w:val="21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C0130/R0010-R0330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Annuities stemming from non-life contracts (gross), Cash out-flows - Future benefits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DD1B3B">
                  <w:pPr>
                    <w:rPr>
                      <w:sz w:val="20"/>
                      <w:lang w:val="en-US"/>
                    </w:rPr>
                  </w:pPr>
                </w:p>
                <w:p w:rsidR="008917E1" w:rsidRDefault="008917E1" w:rsidP="00DD1B3B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The cash-flows </w:t>
                  </w:r>
                  <w:r w:rsidRPr="006F1E6F">
                    <w:rPr>
                      <w:sz w:val="20"/>
                      <w:lang w:val="en-US"/>
                    </w:rPr>
                    <w:t xml:space="preserve">are the ones stemming from Future benefits regarding </w:t>
                  </w:r>
                  <w:proofErr w:type="spellStart"/>
                  <w:r w:rsidRPr="006F1E6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6F1E6F">
                    <w:rPr>
                      <w:sz w:val="20"/>
                      <w:lang w:val="en-US"/>
                    </w:rPr>
                    <w:t xml:space="preserve"> Annuities stemming from non-life contracts relating to insurance obligations, including health insurance obligations.</w:t>
                  </w:r>
                </w:p>
                <w:p w:rsidR="008917E1" w:rsidRDefault="008917E1" w:rsidP="00DD1B3B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FC32DC">
                  <w:pP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>Cash out-flows from non-life insurance contracts that will change to Annuities but are not yet formally settled as Annuities and shall not be included.</w:t>
                  </w:r>
                </w:p>
              </w:tc>
            </w:tr>
            <w:tr w:rsidR="008917E1" w:rsidRPr="00927CAF" w:rsidTr="00E00B83">
              <w:trPr>
                <w:trHeight w:val="27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C0140/R0010-R0330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Annuities stemming from non-life contracts (gross), Cash out-flows - Future expenses and other cash out-flows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>
                  <w:pPr>
                    <w:rPr>
                      <w:sz w:val="20"/>
                      <w:lang w:val="en-US"/>
                    </w:rPr>
                  </w:pPr>
                </w:p>
                <w:p w:rsidR="008917E1" w:rsidRPr="00927CAF" w:rsidRDefault="008917E1" w:rsidP="00AC1B56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related to expenses that will be incurred in servicing insurance and reinsurance obligations, and other cash-flow items such as taxation payments which are, or expected to be, charged to policyholders or are required to settle the insurance obligations</w:t>
                  </w:r>
                  <w:r w:rsidRPr="00927CAF">
                    <w:rPr>
                      <w:sz w:val="20"/>
                      <w:lang w:val="en-US"/>
                    </w:rPr>
                    <w:t xml:space="preserve">,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Annuities stemming from non-life contracts</w:t>
                  </w:r>
                  <w:r>
                    <w:rPr>
                      <w:sz w:val="20"/>
                      <w:lang w:val="en-US"/>
                    </w:rPr>
                    <w:t xml:space="preserve"> relating to insurance obligations, including health insurance obligations</w:t>
                  </w:r>
                  <w:r w:rsidRPr="00927CAF">
                    <w:rPr>
                      <w:sz w:val="20"/>
                      <w:lang w:val="en-US"/>
                    </w:rPr>
                    <w:t>.</w:t>
                  </w:r>
                </w:p>
                <w:p w:rsidR="008917E1" w:rsidRPr="00927CAF" w:rsidRDefault="008917E1" w:rsidP="00AC1B56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5277D8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Cash out-flows from non-life insurance contracts that </w:t>
                  </w:r>
                  <w:r>
                    <w:rPr>
                      <w:sz w:val="20"/>
                      <w:lang w:val="en-US"/>
                    </w:rPr>
                    <w:t xml:space="preserve">are not yet settled as Annuities and </w:t>
                  </w:r>
                  <w:r w:rsidRPr="00E00B83">
                    <w:rPr>
                      <w:sz w:val="20"/>
                      <w:lang w:val="en-US"/>
                    </w:rPr>
                    <w:t xml:space="preserve">will change to Annuities and dealt </w:t>
                  </w:r>
                  <w:r w:rsidRPr="00927CAF">
                    <w:rPr>
                      <w:sz w:val="20"/>
                      <w:lang w:val="en-US"/>
                    </w:rPr>
                    <w:t xml:space="preserve">with </w:t>
                  </w:r>
                  <w:r w:rsidRPr="00E00B83">
                    <w:rPr>
                      <w:sz w:val="20"/>
                      <w:lang w:val="en-US"/>
                    </w:rPr>
                    <w:t xml:space="preserve">within the same company shall </w:t>
                  </w:r>
                  <w:r>
                    <w:rPr>
                      <w:sz w:val="20"/>
                      <w:lang w:val="en-US"/>
                    </w:rPr>
                    <w:t>not</w:t>
                  </w:r>
                  <w:r w:rsidRPr="00E00B83">
                    <w:rPr>
                      <w:sz w:val="20"/>
                      <w:lang w:val="en-US"/>
                    </w:rPr>
                    <w:t xml:space="preserve"> be included.</w:t>
                  </w:r>
                </w:p>
              </w:tc>
            </w:tr>
            <w:tr w:rsidR="008917E1" w:rsidRPr="00927CAF" w:rsidTr="00E00B83">
              <w:trPr>
                <w:trHeight w:val="21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C0150/R0010-R0330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Annuities stemming from non-life contracts (gross), Cash in-flows - Future premiums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8917E1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ste</w:t>
                  </w:r>
                  <w:r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>ming from future premiums and any additional cash</w:t>
                  </w:r>
                  <w:r w:rsidRPr="00927CAF">
                    <w:rPr>
                      <w:sz w:val="20"/>
                      <w:lang w:val="en-US"/>
                    </w:rPr>
                    <w:t>-</w:t>
                  </w:r>
                  <w:r w:rsidRPr="00E00B83">
                    <w:rPr>
                      <w:sz w:val="20"/>
                      <w:lang w:val="en-US"/>
                    </w:rPr>
                    <w:t>flows that result from those premiums</w:t>
                  </w:r>
                  <w:r w:rsidRPr="00927CAF">
                    <w:rPr>
                      <w:sz w:val="20"/>
                      <w:lang w:val="en-US"/>
                    </w:rPr>
                    <w:t xml:space="preserve">,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Annuities stemming from non-life contracts</w:t>
                  </w:r>
                  <w:r>
                    <w:rPr>
                      <w:sz w:val="20"/>
                      <w:lang w:val="en-US"/>
                    </w:rPr>
                    <w:t xml:space="preserve"> relating to insurance obligations, including health insurance obligations</w:t>
                  </w:r>
                  <w:r w:rsidRPr="00E00B83">
                    <w:rPr>
                      <w:sz w:val="20"/>
                      <w:lang w:val="en-US"/>
                    </w:rPr>
                    <w:t>.</w:t>
                  </w:r>
                </w:p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C16324">
                  <w:pP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>Cash out-flows from non-life insurance contracts that are not yet settled as Annuities and will change to Annuities shall not be included.</w:t>
                  </w:r>
                </w:p>
              </w:tc>
            </w:tr>
            <w:tr w:rsidR="008917E1" w:rsidRPr="00927CAF" w:rsidTr="00E00B83">
              <w:trPr>
                <w:trHeight w:val="21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C0160/R0010-R0330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Annuities stemming from non-life contracts (gross), Cash in-flows - Other cash in-flows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</w:p>
                <w:p w:rsidR="008917E1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not included in Future premiums and not including investment returns</w:t>
                  </w:r>
                  <w:r w:rsidRPr="00927CAF">
                    <w:rPr>
                      <w:sz w:val="20"/>
                      <w:lang w:val="en-US"/>
                    </w:rPr>
                    <w:t xml:space="preserve">,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Annuities stemming from non-life contracts</w:t>
                  </w:r>
                  <w:r>
                    <w:rPr>
                      <w:sz w:val="20"/>
                      <w:lang w:val="en-US"/>
                    </w:rPr>
                    <w:t xml:space="preserve"> relating to insurance obligations, including health insurance obligations</w:t>
                  </w:r>
                  <w:r w:rsidRPr="00927CAF">
                    <w:rPr>
                      <w:sz w:val="20"/>
                      <w:lang w:val="en-US"/>
                    </w:rPr>
                    <w:t>.</w:t>
                  </w:r>
                </w:p>
                <w:p w:rsidR="008917E1" w:rsidRDefault="008917E1" w:rsidP="00C16324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C16324">
                  <w:pP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>Cash out-flows from non-life insurance contracts that are not yet settled as Annuities and will change to Annuities shall not be included.</w:t>
                  </w:r>
                </w:p>
              </w:tc>
            </w:tr>
            <w:tr w:rsidR="008917E1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C0170/R0010-R0330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Accepted reinsurance (gross), Cash out-flows - Future benefits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4A5A77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4A5A77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ste</w:t>
                  </w:r>
                  <w:r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 xml:space="preserve">ming from Future benefits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E00B83">
                    <w:rPr>
                      <w:sz w:val="20"/>
                      <w:lang w:val="en-US"/>
                    </w:rPr>
                    <w:t xml:space="preserve"> Accepted reinsurance.</w:t>
                  </w:r>
                </w:p>
              </w:tc>
            </w:tr>
            <w:tr w:rsidR="008917E1" w:rsidRPr="00927CAF" w:rsidTr="00E00B83">
              <w:trPr>
                <w:trHeight w:val="27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C0180/R0010-R0330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Accepted reinsurance (gross), Cash out-flows - Future expenses and other cash out-flows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</w:p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related to expenses that will be incurred in servicing insurance and reinsurance obligations, and other cash-flow items such as taxation payments which are, or expected to be, charged to policyholders or are required to settle the insurance obligations</w:t>
                  </w:r>
                  <w:r w:rsidRPr="00927CAF">
                    <w:rPr>
                      <w:sz w:val="20"/>
                      <w:lang w:val="en-US"/>
                    </w:rPr>
                    <w:t xml:space="preserve">,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Accepted reinsurance.</w:t>
                  </w:r>
                </w:p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8917E1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Cash out-flows from non-life insurance contracts that will change to Annuities</w:t>
                  </w:r>
                  <w:r>
                    <w:rPr>
                      <w:sz w:val="20"/>
                      <w:lang w:val="en-US"/>
                    </w:rPr>
                    <w:t xml:space="preserve"> but not yet formally settled as Annuities,</w:t>
                  </w:r>
                  <w:r w:rsidRPr="00E00B83">
                    <w:rPr>
                      <w:sz w:val="20"/>
                      <w:lang w:val="en-US"/>
                    </w:rPr>
                    <w:t xml:space="preserve"> and dealt </w:t>
                  </w:r>
                  <w:r w:rsidRPr="00927CAF">
                    <w:rPr>
                      <w:sz w:val="20"/>
                      <w:lang w:val="en-US"/>
                    </w:rPr>
                    <w:t xml:space="preserve">with </w:t>
                  </w:r>
                  <w:r w:rsidRPr="00E00B83">
                    <w:rPr>
                      <w:sz w:val="20"/>
                      <w:lang w:val="en-US"/>
                    </w:rPr>
                    <w:t>within the same company shall also be included.</w:t>
                  </w:r>
                </w:p>
              </w:tc>
            </w:tr>
            <w:tr w:rsidR="008917E1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C0190/R0010-R0330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Accepted reinsurance (gross), Cash in-flows - Future premiums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8917E1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steaming from future premiums and any additional cash flows that result from those premiums</w:t>
                  </w:r>
                  <w:r w:rsidRPr="00927CAF">
                    <w:rPr>
                      <w:sz w:val="20"/>
                      <w:lang w:val="en-US"/>
                    </w:rPr>
                    <w:t xml:space="preserve">,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Accepted reinsurance.</w:t>
                  </w:r>
                </w:p>
              </w:tc>
            </w:tr>
            <w:tr w:rsidR="008917E1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C0200/R0010-R0330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Accepted reinsurance (gross), Cash in-flows - Other cash in-flows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8917E1" w:rsidRPr="00E00B83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not included in Future premiums and not including investment returns</w:t>
                  </w:r>
                  <w:r w:rsidRPr="00927CAF">
                    <w:rPr>
                      <w:sz w:val="20"/>
                      <w:lang w:val="en-US"/>
                    </w:rPr>
                    <w:t xml:space="preserve">,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Accepted reinsurance.</w:t>
                  </w:r>
                </w:p>
              </w:tc>
            </w:tr>
            <w:tr w:rsidR="008917E1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C0210/R0010-R0330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insurance (gross), Cash out-flows - Future benefits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8917E1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The cash-flows are the ones steaming from Future benefits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</w:t>
                  </w:r>
                  <w:r w:rsidRPr="00E00B83">
                    <w:rPr>
                      <w:sz w:val="20"/>
                      <w:lang w:val="en-US"/>
                    </w:rPr>
                    <w:t>Health insurance.</w:t>
                  </w:r>
                </w:p>
              </w:tc>
            </w:tr>
            <w:tr w:rsidR="008917E1" w:rsidRPr="00927CAF" w:rsidTr="00E00B83">
              <w:trPr>
                <w:trHeight w:val="27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C0220/R0010-R0330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insurance (gross), Cash out-flows - Future expenses and other cash out-flows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8917E1" w:rsidRPr="00E00B83" w:rsidRDefault="008917E1" w:rsidP="008917E1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related to expenses that will be incurred in servicing insurance and reinsurance obligations, and other cash-flow items such as taxation payments which are, or expected to be, charged to policyholders or are required to settle the insurance obligations</w:t>
                  </w:r>
                  <w:r w:rsidRPr="00927CAF">
                    <w:rPr>
                      <w:sz w:val="20"/>
                      <w:lang w:val="en-US"/>
                    </w:rPr>
                    <w:t xml:space="preserve">,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Health insurance.</w:t>
                  </w: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</w:tc>
            </w:tr>
            <w:tr w:rsidR="008917E1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C0230/R0010-R0330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insurance (gross), Cash in-flows - Future premiums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8917E1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steaming from future premiums and any additional cash flows that result from those premiums</w:t>
                  </w:r>
                  <w:r w:rsidRPr="00927CAF">
                    <w:rPr>
                      <w:sz w:val="20"/>
                      <w:lang w:val="en-US"/>
                    </w:rPr>
                    <w:t xml:space="preserve">,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Health insurance.</w:t>
                  </w:r>
                </w:p>
              </w:tc>
            </w:tr>
            <w:tr w:rsidR="008917E1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C0240/R0010-R0330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insurance (gross), Cash in-flows - Other cash in-flows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8917E1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not included in Future premiums and not including investment returns</w:t>
                  </w:r>
                  <w:r w:rsidRPr="00927CAF">
                    <w:rPr>
                      <w:sz w:val="20"/>
                      <w:lang w:val="en-US"/>
                    </w:rPr>
                    <w:t xml:space="preserve">,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Health insurance.</w:t>
                  </w:r>
                </w:p>
              </w:tc>
            </w:tr>
            <w:tr w:rsidR="008917E1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C0250/R0010-R0330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reinsurance (gross), Cash out-flows - Future benefits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264A67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The cash-flows are the ones steaming from Future benefits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E00B83">
                    <w:rPr>
                      <w:sz w:val="20"/>
                      <w:lang w:val="en-US"/>
                    </w:rPr>
                    <w:t xml:space="preserve"> Health reinsurance.</w:t>
                  </w:r>
                </w:p>
              </w:tc>
            </w:tr>
            <w:tr w:rsidR="008917E1" w:rsidRPr="00927CAF" w:rsidTr="00E00B83">
              <w:trPr>
                <w:trHeight w:val="401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C0260/R0010-R0330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reinsurance (gross), Cash out-flows - Future expenses and other cash out-flows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</w:t>
                  </w:r>
                </w:p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8917E1" w:rsidRPr="00927CAF" w:rsidRDefault="008917E1" w:rsidP="00264A67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related to expenses that will be incurred in servicing insurance and reinsurance obligations, and other cash-flow items such as taxation payments which are, or expected to be, charged to policyholders or are required to settle the insurance obligations</w:t>
                  </w:r>
                  <w:r w:rsidRPr="00927CAF">
                    <w:rPr>
                      <w:sz w:val="20"/>
                      <w:lang w:val="en-US"/>
                    </w:rPr>
                    <w:t xml:space="preserve">,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Health reinsurance.</w:t>
                  </w:r>
                </w:p>
                <w:p w:rsidR="008917E1" w:rsidRPr="00927CAF" w:rsidRDefault="008917E1" w:rsidP="00264A67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264A67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Cash out-flows from non-life insurance contracts that will change to Annuities</w:t>
                  </w:r>
                  <w:r>
                    <w:rPr>
                      <w:sz w:val="20"/>
                      <w:lang w:val="en-US"/>
                    </w:rPr>
                    <w:t xml:space="preserve"> but not yet formally settled as Annuities,</w:t>
                  </w:r>
                  <w:r w:rsidRPr="00E00B83">
                    <w:rPr>
                      <w:sz w:val="20"/>
                      <w:lang w:val="en-US"/>
                    </w:rPr>
                    <w:t xml:space="preserve"> and dealt within the same company shall also be included.</w:t>
                  </w:r>
                </w:p>
              </w:tc>
            </w:tr>
            <w:tr w:rsidR="008917E1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C0270/R0010-R0330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reinsurance (gross), Cash in-flows - Future premiums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8917E1" w:rsidRPr="00E00B83" w:rsidRDefault="008917E1" w:rsidP="008917E1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steaming from future premiums and any additional cash flows that result from those premiums</w:t>
                  </w:r>
                  <w:r w:rsidRPr="00927CAF">
                    <w:rPr>
                      <w:sz w:val="20"/>
                      <w:lang w:val="en-US"/>
                    </w:rPr>
                    <w:t xml:space="preserve">,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Health reinsurance.</w:t>
                  </w:r>
                </w:p>
              </w:tc>
            </w:tr>
            <w:tr w:rsidR="008917E1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C0280/R0010-R0330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reinsurance (gross), Cash in-flows - Other cash in-flows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8917E1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not included in Future premiums and not including investment returns</w:t>
                  </w:r>
                  <w:r w:rsidRPr="00927CAF">
                    <w:rPr>
                      <w:sz w:val="20"/>
                      <w:lang w:val="en-US"/>
                    </w:rPr>
                    <w:t xml:space="preserve">, regarding </w:t>
                  </w:r>
                  <w:proofErr w:type="spellStart"/>
                  <w:r w:rsidRPr="00927CAF">
                    <w:rPr>
                      <w:sz w:val="20"/>
                      <w:lang w:val="en-US"/>
                    </w:rPr>
                    <w:t>LoB</w:t>
                  </w:r>
                  <w:proofErr w:type="spellEnd"/>
                  <w:r w:rsidRPr="00927CAF">
                    <w:rPr>
                      <w:sz w:val="20"/>
                      <w:lang w:val="en-US"/>
                    </w:rPr>
                    <w:t xml:space="preserve"> Health reinsurance.</w:t>
                  </w:r>
                </w:p>
              </w:tc>
            </w:tr>
            <w:tr w:rsidR="008917E1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315864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C0290/R0010-R0330</w:t>
                  </w:r>
                  <w:r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E00B83" w:rsidRDefault="008917E1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Total recoverable from reinsurance (after the adjustment)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8917E1" w:rsidRPr="00927CAF" w:rsidRDefault="008917E1" w:rsidP="00C16324">
                  <w:pPr>
                    <w:rPr>
                      <w:sz w:val="20"/>
                      <w:lang w:val="en-US"/>
                    </w:rPr>
                  </w:pPr>
                </w:p>
                <w:p w:rsidR="008917E1" w:rsidRPr="00E00B83" w:rsidRDefault="008917E1" w:rsidP="009E7AA9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The </w:t>
                  </w:r>
                  <w:r>
                    <w:rPr>
                      <w:sz w:val="20"/>
                      <w:lang w:val="en-US"/>
                    </w:rPr>
                    <w:t xml:space="preserve">future </w:t>
                  </w:r>
                  <w:r w:rsidRPr="00E00B83">
                    <w:rPr>
                      <w:sz w:val="20"/>
                      <w:lang w:val="en-US"/>
                    </w:rPr>
                    <w:t xml:space="preserve">cash-flows </w:t>
                  </w:r>
                  <w:r>
                    <w:rPr>
                      <w:sz w:val="20"/>
                      <w:lang w:val="en-US"/>
                    </w:rPr>
                    <w:t xml:space="preserve">undiscounted from </w:t>
                  </w:r>
                  <w:r w:rsidRPr="00E00B83">
                    <w:rPr>
                      <w:sz w:val="20"/>
                      <w:lang w:val="en-US"/>
                    </w:rPr>
                    <w:t xml:space="preserve">amounts </w:t>
                  </w:r>
                  <w:proofErr w:type="spellStart"/>
                  <w:r w:rsidRPr="00E00B83">
                    <w:rPr>
                      <w:sz w:val="20"/>
                      <w:lang w:val="en-US"/>
                    </w:rPr>
                    <w:t>recoverable</w:t>
                  </w:r>
                  <w:r>
                    <w:rPr>
                      <w:sz w:val="20"/>
                      <w:lang w:val="en-US"/>
                    </w:rPr>
                    <w:t>s</w:t>
                  </w:r>
                  <w:proofErr w:type="spellEnd"/>
                  <w:r w:rsidRPr="00E00B83">
                    <w:rPr>
                      <w:sz w:val="20"/>
                      <w:lang w:val="en-US"/>
                    </w:rPr>
                    <w:t xml:space="preserve"> from reinsurance and</w:t>
                  </w:r>
                  <w:r w:rsidRPr="00927CAF">
                    <w:rPr>
                      <w:sz w:val="20"/>
                      <w:lang w:val="en-US"/>
                    </w:rPr>
                    <w:t xml:space="preserve"> SPVs/Finite Re, including ceded intra group reinsurance</w:t>
                  </w:r>
                  <w:r>
                    <w:rPr>
                      <w:sz w:val="20"/>
                      <w:lang w:val="en-US"/>
                    </w:rPr>
                    <w:t xml:space="preserve">, </w:t>
                  </w:r>
                  <w:r w:rsidRPr="00315864">
                    <w:rPr>
                      <w:sz w:val="20"/>
                      <w:lang w:val="en-US"/>
                    </w:rPr>
                    <w:t>including future reinsurance premiums</w:t>
                  </w:r>
                  <w:r w:rsidRPr="00927CAF">
                    <w:rPr>
                      <w:sz w:val="20"/>
                      <w:lang w:val="en-US"/>
                    </w:rPr>
                    <w:t>. Amount s</w:t>
                  </w:r>
                  <w:r w:rsidRPr="00E00B83">
                    <w:rPr>
                      <w:sz w:val="20"/>
                      <w:lang w:val="en-US"/>
                    </w:rPr>
                    <w:t xml:space="preserve">hall be reported net of adjustment for counterparty default risk.  </w:t>
                  </w:r>
                </w:p>
              </w:tc>
            </w:tr>
          </w:tbl>
          <w:p w:rsidR="008917E1" w:rsidRPr="00E00B83" w:rsidRDefault="008917E1" w:rsidP="00C16324">
            <w:pPr>
              <w:rPr>
                <w:b/>
                <w:bCs/>
                <w:sz w:val="20"/>
                <w:lang w:val="en-US"/>
              </w:rPr>
            </w:pPr>
          </w:p>
        </w:tc>
      </w:tr>
    </w:tbl>
    <w:p w:rsidR="00CC5D0A" w:rsidRPr="00E00B83" w:rsidRDefault="00CC5D0A">
      <w:pPr>
        <w:rPr>
          <w:sz w:val="20"/>
          <w:lang w:val="en-US"/>
        </w:rPr>
      </w:pPr>
    </w:p>
    <w:sectPr w:rsidR="00CC5D0A" w:rsidRPr="00E00B83" w:rsidSect="00C16324">
      <w:pgSz w:w="11906" w:h="16838"/>
      <w:pgMar w:top="1417" w:right="1417" w:bottom="1417" w:left="1417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16541"/>
    <w:multiLevelType w:val="hybridMultilevel"/>
    <w:tmpl w:val="71542912"/>
    <w:lvl w:ilvl="0" w:tplc="8B781D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C16324"/>
    <w:rsid w:val="000C00E0"/>
    <w:rsid w:val="00114AF2"/>
    <w:rsid w:val="001212C5"/>
    <w:rsid w:val="00127A88"/>
    <w:rsid w:val="00164615"/>
    <w:rsid w:val="00173EC2"/>
    <w:rsid w:val="0021480E"/>
    <w:rsid w:val="00264A67"/>
    <w:rsid w:val="00310039"/>
    <w:rsid w:val="00315864"/>
    <w:rsid w:val="003A6617"/>
    <w:rsid w:val="003B0765"/>
    <w:rsid w:val="004179BF"/>
    <w:rsid w:val="00473856"/>
    <w:rsid w:val="00475ACB"/>
    <w:rsid w:val="00491199"/>
    <w:rsid w:val="004A5A77"/>
    <w:rsid w:val="004C5C0C"/>
    <w:rsid w:val="00501EEE"/>
    <w:rsid w:val="005277D8"/>
    <w:rsid w:val="00585D17"/>
    <w:rsid w:val="005942D8"/>
    <w:rsid w:val="005B0D7B"/>
    <w:rsid w:val="005B0E1C"/>
    <w:rsid w:val="005B69F6"/>
    <w:rsid w:val="005F422A"/>
    <w:rsid w:val="006630B3"/>
    <w:rsid w:val="00685908"/>
    <w:rsid w:val="006921E7"/>
    <w:rsid w:val="006F1E6F"/>
    <w:rsid w:val="00746DEA"/>
    <w:rsid w:val="00783CCB"/>
    <w:rsid w:val="007A5869"/>
    <w:rsid w:val="008917E1"/>
    <w:rsid w:val="008C470C"/>
    <w:rsid w:val="008D4C0A"/>
    <w:rsid w:val="008F5E58"/>
    <w:rsid w:val="009068E1"/>
    <w:rsid w:val="00927CAF"/>
    <w:rsid w:val="009511ED"/>
    <w:rsid w:val="009638B8"/>
    <w:rsid w:val="0098447B"/>
    <w:rsid w:val="009E16C6"/>
    <w:rsid w:val="009E7AA9"/>
    <w:rsid w:val="009F19F7"/>
    <w:rsid w:val="00A169B8"/>
    <w:rsid w:val="00A74176"/>
    <w:rsid w:val="00AC1B56"/>
    <w:rsid w:val="00B477B0"/>
    <w:rsid w:val="00B601E1"/>
    <w:rsid w:val="00B60429"/>
    <w:rsid w:val="00B72203"/>
    <w:rsid w:val="00BC26F8"/>
    <w:rsid w:val="00BE6A6B"/>
    <w:rsid w:val="00C003C5"/>
    <w:rsid w:val="00C16324"/>
    <w:rsid w:val="00C21037"/>
    <w:rsid w:val="00C61D1C"/>
    <w:rsid w:val="00CC5D0A"/>
    <w:rsid w:val="00CE5591"/>
    <w:rsid w:val="00CE6AFC"/>
    <w:rsid w:val="00CF3935"/>
    <w:rsid w:val="00D97228"/>
    <w:rsid w:val="00DA50BA"/>
    <w:rsid w:val="00DC2301"/>
    <w:rsid w:val="00DD1B3B"/>
    <w:rsid w:val="00DE2F72"/>
    <w:rsid w:val="00E00B83"/>
    <w:rsid w:val="00E27B53"/>
    <w:rsid w:val="00E4368D"/>
    <w:rsid w:val="00E54780"/>
    <w:rsid w:val="00EB7F09"/>
    <w:rsid w:val="00F74E84"/>
    <w:rsid w:val="00F84251"/>
    <w:rsid w:val="00FB39DE"/>
    <w:rsid w:val="00FC081F"/>
    <w:rsid w:val="00FC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630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30B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D4C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D4C0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D4C0A"/>
  </w:style>
  <w:style w:type="paragraph" w:styleId="CommentSubject">
    <w:name w:val="annotation subject"/>
    <w:basedOn w:val="CommentText"/>
    <w:next w:val="CommentText"/>
    <w:link w:val="CommentSubjectChar"/>
    <w:rsid w:val="008D4C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4C0A"/>
    <w:rPr>
      <w:b/>
      <w:bCs/>
    </w:rPr>
  </w:style>
  <w:style w:type="paragraph" w:styleId="Revision">
    <w:name w:val="Revision"/>
    <w:hidden/>
    <w:uiPriority w:val="99"/>
    <w:semiHidden/>
    <w:rsid w:val="00164615"/>
    <w:rPr>
      <w:sz w:val="24"/>
    </w:rPr>
  </w:style>
  <w:style w:type="paragraph" w:styleId="ListParagraph">
    <w:name w:val="List Paragraph"/>
    <w:basedOn w:val="Normal"/>
    <w:uiPriority w:val="34"/>
    <w:qFormat/>
    <w:rsid w:val="009F19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630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30B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D4C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D4C0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D4C0A"/>
  </w:style>
  <w:style w:type="paragraph" w:styleId="CommentSubject">
    <w:name w:val="annotation subject"/>
    <w:basedOn w:val="CommentText"/>
    <w:next w:val="CommentText"/>
    <w:link w:val="CommentSubjectChar"/>
    <w:rsid w:val="008D4C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4C0A"/>
    <w:rPr>
      <w:b/>
      <w:bCs/>
    </w:rPr>
  </w:style>
  <w:style w:type="paragraph" w:styleId="Revision">
    <w:name w:val="Revision"/>
    <w:hidden/>
    <w:uiPriority w:val="99"/>
    <w:semiHidden/>
    <w:rsid w:val="00164615"/>
    <w:rPr>
      <w:sz w:val="24"/>
    </w:rPr>
  </w:style>
  <w:style w:type="paragraph" w:styleId="ListParagraph">
    <w:name w:val="List Paragraph"/>
    <w:basedOn w:val="Normal"/>
    <w:uiPriority w:val="34"/>
    <w:qFormat/>
    <w:rsid w:val="009F19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3009</Words>
  <Characters>16333</Characters>
  <Application>Microsoft Office Word</Application>
  <DocSecurity>0</DocSecurity>
  <Lines>136</Lines>
  <Paragraphs>38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Finansinspektionen</Company>
  <LinksUpToDate>false</LinksUpToDate>
  <CharactersWithSpaces>19304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Joakim Ström</dc:creator>
  <cp:lastModifiedBy>ATM</cp:lastModifiedBy>
  <cp:revision>5</cp:revision>
  <dcterms:created xsi:type="dcterms:W3CDTF">2015-06-30T10:12:00Z</dcterms:created>
  <dcterms:modified xsi:type="dcterms:W3CDTF">2015-07-01T13:58:00Z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-563091447</vt:i4>
  </property>
  <property fmtid="{D5CDD505-2E9C-101B-9397-08002B2CF9AE}" pid="4" name="_EmailSubject">
    <vt:lpwstr>IGSRR Written Procedures - Reporting &amp; Disclosure: Templates &amp; LOGs (solo) + ITS on disclosure after COM feedback  -  by 5 June cob</vt:lpwstr>
  </property>
  <property fmtid="{D5CDD505-2E9C-101B-9397-08002B2CF9AE}" pid="5" name="_AuthorEmail">
    <vt:lpwstr>Greg.Stump@bankofengland.gsi.gov.uk</vt:lpwstr>
  </property>
  <property fmtid="{D5CDD505-2E9C-101B-9397-08002B2CF9AE}" pid="6" name="_AuthorEmailDisplayName">
    <vt:lpwstr>Stump, Greg</vt:lpwstr>
  </property>
  <property fmtid="{D5CDD505-2E9C-101B-9397-08002B2CF9AE}" pid="7" name="_ReviewingToolsShownOnce">
    <vt:lpwstr/>
  </property>
</Properties>
</file>